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519</w:t>
      </w:r>
    </w:p>
    <w:p>
      <w:r>
        <w:t>Bundesgericht (BGE), 1971-06-30, DE</w:t>
      </w:r>
    </w:p>
    <w:p>
      <w:r>
        <w:rPr>
          <w:b/>
        </w:rPr>
        <w:t xml:space="preserve">Quelle: </w:t>
      </w:r>
      <w:r>
        <w:t>https://mcp.opencaselaw.ch/entscheid/bge_97 I 519</w:t>
      </w:r>
    </w:p>
    <w:p>
      <w:r>
        <w:t>FR: ATF 97 I 519</w:t>
      </w:r>
    </w:p>
    <w:p>
      <w:r>
        <w:t>IT: DTF 97 I 519</w:t>
      </w:r>
    </w:p>
    <w:p>
      <w:pPr>
        <w:pStyle w:val="Heading2"/>
      </w:pPr>
      <w:r>
        <w:t>Regeste</w:t>
      </w:r>
    </w:p>
    <w:p>
      <w:r>
        <w:t>Regeste Gemeindeautonomie. Die Bestimmung eines Gemeindebaureglements, die lediglich eine zwingende Vorschrift des kantonalen Baurechts wiederholt, gehört nicht zum autonomen Gemeinderecht. Der Entscheid einer kantonalen Rechtsmittelinstanz, die bei der Auslegung und Anwendung dieser Bestimmung zu einem andern Ergebnis kommt als die Gemeindebehörden, verstösst daher nicht gegen die Gemeindeautonomie, und zwar auch dann nicht, wenn die Bestimmung unbestimmte Rechtsbegriffe verwendet, bei deren Anwendung den zuständigen Behörden ein gewisser Beurteilungsspielraum zusteht.</w:t>
      </w:r>
    </w:p>
    <w:p>
      <w:pPr>
        <w:pStyle w:val="Heading2"/>
      </w:pPr>
      <w:r>
        <w:t>Erwägungen</w:t>
      </w:r>
    </w:p>
    <w:p>
      <w:r>
        <w:rPr>
          <w:b/>
        </w:rPr>
        <w:t>E. 2</w:t>
      </w:r>
    </w:p>
    <w:p>
      <w:r>
        <w:t>Art. 54 der solothurn. KV gibt den Gemeinden das Recht, innerhalb der Schranken der Verfassung und der Gesetze ihre Angelegenheiten selbständig zu ordnen. Die KV BGE 97 I 519 S. 522 sagt indes nicht, welche Angelegenheiten in den Autonomiebereich der Gemeinden fallen, und erklärt insbesondere nicht, dass das Bauwesen eine Gemeindeangelegenheit sei. Inwieweit die Gemeinden auf diesem Gebiet autonom sind, bestimmt sich somit nach dem kantonalen Gesetzesrecht ( BGE 93 I 431 E. 2). Die Auslegung und Anwendung einfachen Gesetzesrechtes aber kann das Bundesgericht, auch soweit der Umfang der Gemeindeautonomie in Frage steht, nicht frei, sondern nur unter dem beschränkten Gesichtswinkel der Willkür überprüfen ( BGE 93 I 431 E. 3 a mit Hinweis auf frühere Urteile, BGE 94 I 545 E. 3, BGE 96 I 153 E. 3). Nach § 2 BRL, dessen Bestimmungen wörtlich aus § 2 NBR übernommen worden sind, können Entscheide des Gemeinderates in Baupolizeisachen durch Beschwerde an den Regierungsrat weitergezogen werden. Dieser hat im angefochtenen Entscheid angenommen, er dürfe im vorliegenden Falle völlig frei überprüfen, ob der Gemeinderat den Begriff der "übermässigen Belästigung" im Sinne der §§ 42 NBR und 70 BRL richtig ausgelegt habe. Die Beschwerde erblickt in dieser freien Überprüfung eine Verletzung der Gemeindeautonomie, verweist auf das den Gemeindebehörden bei der Anwendung der genannten Bestimmung zustehende Ermessen und behauptet, der Regierungsrat hätte den Entscheid des Gemeinderates nur wegen Willkür oder Ermessensüberschreitung aufheben können und sei nicht befugt gewesen, in völlig freier Würdigung und Überprüfung der Verhältnisse und Umstände zum gegenteiligen Schluss zu kommen; Willkür und Ermessensüberschreitung aber würden dem Gemeinderat im angefochtenen Entscheid nicht vorgeworfen und könnten ihm auch nicht vorgeworfen werden. Nach der neuern Rechtsprechung des Bundesgerichts kann die Gemeindeautonomie auch dadurch verletzt werden, dass die zuständige kantonale Behörde eine autonome Satzung der Gemeinde willkürlich anwendet ( BGE 95 I 33 ff., insbesondere 37/38). Die Beschwerde will offenbar eine solche Verletzung der Gemeindeautonomie geltend machen und geht, freilich ohne es ausdrücklich zu sagen, davon aus, dass § 70 BRL, aufgrund dessen der Gemeinderat die Baubewilligung verweigert hat, autonomes Gemeinderecht sei. Nun gehört zwar § 70 BRL, weil er im Gemeindebaureglement enthalten ist, zum Gemeinderecht und nicht, wie der Beschwerdegegner anzunehmen BGE 97 I 519 S. 523 scheint, zum kantonalen Recht. Dagegen wäre § 70 BRL nur dann eine autonome Norm, wenn es der Gemeinde frei gestanden wäre, diese Bestimmung in ihr Baureglement aufzunehmen (vgl. BGE 93 I 160 ). Das ist jedoch offensichtlich nicht der Fall. § 70 BRL lautet wörtlich gleich wie § 42 NBR, und diese Bestimmung ist zwingendes kantonales Recht, das in allen Gemeinden gilt ohne Rücksicht darauf, ob sie ein Baureglement besitzen oder nicht. In Gemeinden ohne Baureglement gilt § 42 NBR unmittelbar aufgrund von § 4 Abs. 2 BauG, während er in Gemeinden, die ein Baureglement erlassen, deshalb zur Geltung kommt, weil § 6 Ziff. 7 BauG die Gemeinden verpflichtet, in ihre Baureglemente Bestimmungen über gesundheitspolizeiliche Anordnungen, Ausschluss von Belästigungen (Ausdünstungen, Rauch, Staub, Lärm und dergleichen) aufzunehmen und diese Bestimmungen nach § 4 Abs. 3 BauG inhaltlich mindestens den Vorschriften des NBR entsprechen müssen. Als autonomes Gemeinderecht können daher nur solche Bestimmungen über den Schutz vor Immissionen gelten, die inhaltlich weiter gehen als § 42 NBR (vgl. W. LUDER, Das Baupolizeirecht als Beschränkung der Eigentumsfreiheit, insbesondere nach solothurn. Recht, 1951, S. 81 unten). Das trifft z.B. zu für die Bestimmungen des BRL, wonach in der Kernzone nur Gewerbebetriebe zulässig sind, die "keine erhebliche Belästigung", und in den Wohnzonen nur solche, die "absolut keine Belästigung" durch Rauch, Staub, Geräusche, Erschütterungen, Ausdünstungen usw. zur Folge haben (§§ 16 Abs. 3, 18 Abs. 2 und 19 Abs. 5 BRL). Um eine autonome Norm würde es sich auch handeln, wenn das BRL Schweinezuchtbetriebe von einer bestimmten Grösse in der Landwirtschaftszone allgemein oder doch in einer gewissen Entfernung von den Bauzonen untersagen würde. Die streitige, in § 70 BRL enthaltene allgemeine Vorschrift über den "Schutz vor Immissionen" dagegen ist keine autonome Satzung, weil sie lediglich einen zwingenden Rechtsatz des kantonalen Rechtes wiederholt. Handelt es sich aber bei § 70 BRL zwar nicht formell, so doch inhaltlich um zwingendes kantonales Recht, so muss, damit dieses Recht auch durchgesetzt und im ganzen Kanton einheitlich und ohne Verletzung der Eigentumsgarantie gehandhabt wird, der Regierungsrat seine Auslegung und Anwendung frei überprüfen können, und es kann daher der angefochtene Entscheid, der das Ergebnis einer solchen Überprüfung ist, BGE 97 I 519 S. 524 nicht gegen die Gemeindeautonomie verstossen. Daran ändert auch der Umstand nichts, dass die §§ 70 BRL und 42 NBR den unbestimmten Rechtsbegriff der "übermässigen Belästigung" verwenden, bei dessen Anwendung im Einzelfall den zuständigen Behörden ein gewisser Beurteilungsspielraum offen steht, denn einen durch die Gemeindeautonomie geschützten Beurteilungsspielraum haben die Gemeindebehörden nur bei der Anwendung unbestimmter Rechtsbegriffe, die dem autonomen Gemeinderecht angehören ( BGE 96 I 369 ff., insbesondere 373/74), was für den Begriff der "übermässigen Belästigung" gerade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